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38A80EC7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182AF6">
        <w:rPr>
          <w:rFonts w:ascii="Calibri" w:hAnsi="Calibri" w:cs="Calibri"/>
          <w:b/>
          <w:sz w:val="28"/>
          <w:szCs w:val="28"/>
        </w:rPr>
        <w:t>April 11</w:t>
      </w:r>
      <w:r w:rsidR="000E2087">
        <w:rPr>
          <w:rFonts w:ascii="Calibri" w:hAnsi="Calibri" w:cs="Calibri"/>
          <w:b/>
          <w:sz w:val="28"/>
          <w:szCs w:val="28"/>
        </w:rPr>
        <w:t>, 201</w:t>
      </w:r>
      <w:r w:rsidR="00A87975">
        <w:rPr>
          <w:rFonts w:ascii="Calibri" w:hAnsi="Calibri" w:cs="Calibri"/>
          <w:b/>
          <w:sz w:val="28"/>
          <w:szCs w:val="28"/>
        </w:rPr>
        <w:t>6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079E9FCA" w:rsidR="003E485E" w:rsidRDefault="00F563FC" w:rsidP="002A1A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05951">
        <w:rPr>
          <w:rFonts w:ascii="Calibri" w:hAnsi="Calibri" w:cs="Arial"/>
          <w:sz w:val="22"/>
          <w:szCs w:val="22"/>
        </w:rPr>
        <w:t xml:space="preserve">Ronnie Casella, </w:t>
      </w:r>
      <w:r w:rsidR="005B7839">
        <w:rPr>
          <w:rFonts w:ascii="Calibri" w:hAnsi="Calibri" w:cs="Arial"/>
          <w:sz w:val="22"/>
          <w:szCs w:val="22"/>
        </w:rPr>
        <w:t>Jena Curtis,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205951" w:rsidRPr="00C96805">
        <w:rPr>
          <w:rFonts w:ascii="Calibri" w:hAnsi="Calibri" w:cs="Arial"/>
          <w:sz w:val="22"/>
          <w:szCs w:val="22"/>
        </w:rPr>
        <w:t>Mark Dodds</w:t>
      </w:r>
      <w:r w:rsidR="00FD0FE5">
        <w:rPr>
          <w:rFonts w:ascii="Calibri" w:hAnsi="Calibri" w:cs="Arial"/>
          <w:sz w:val="22"/>
          <w:szCs w:val="22"/>
        </w:rPr>
        <w:t>,</w:t>
      </w:r>
      <w:r w:rsidR="005B7839">
        <w:rPr>
          <w:rFonts w:ascii="Calibri" w:hAnsi="Calibri" w:cs="Arial"/>
          <w:sz w:val="22"/>
          <w:szCs w:val="22"/>
        </w:rPr>
        <w:t xml:space="preserve"> </w:t>
      </w:r>
      <w:r w:rsidR="00205951">
        <w:rPr>
          <w:rFonts w:ascii="Calibri" w:hAnsi="Calibri" w:cs="Arial"/>
          <w:sz w:val="22"/>
          <w:szCs w:val="22"/>
        </w:rPr>
        <w:t xml:space="preserve">Janet Duncan, </w:t>
      </w:r>
      <w:r w:rsidR="00BA1038" w:rsidRPr="00C96805">
        <w:rPr>
          <w:rFonts w:ascii="Calibri" w:hAnsi="Calibri" w:cs="Arial"/>
          <w:sz w:val="22"/>
          <w:szCs w:val="22"/>
        </w:rPr>
        <w:t xml:space="preserve">Jose Feliciano, Tracy Frenyea, </w:t>
      </w:r>
      <w:r w:rsidR="00B56061" w:rsidRPr="00C96805">
        <w:rPr>
          <w:rFonts w:ascii="Calibri" w:hAnsi="Calibri" w:cs="Arial"/>
          <w:sz w:val="22"/>
          <w:szCs w:val="22"/>
        </w:rPr>
        <w:t>Eileen Gravani,</w:t>
      </w:r>
      <w:r w:rsidR="00205951">
        <w:rPr>
          <w:rFonts w:ascii="Calibri" w:hAnsi="Calibri" w:cs="Arial"/>
          <w:sz w:val="22"/>
          <w:szCs w:val="22"/>
        </w:rPr>
        <w:t xml:space="preserve"> Ingrid Jordak, </w:t>
      </w:r>
      <w:r w:rsidR="00B56061" w:rsidRPr="00C96805">
        <w:rPr>
          <w:rFonts w:ascii="Calibri" w:hAnsi="Calibri" w:cs="Arial"/>
          <w:sz w:val="22"/>
          <w:szCs w:val="22"/>
        </w:rPr>
        <w:t xml:space="preserve"> </w:t>
      </w:r>
      <w:r w:rsidR="000E2087" w:rsidRPr="00C96805">
        <w:rPr>
          <w:rFonts w:ascii="Calibri" w:hAnsi="Calibri" w:cs="Arial"/>
          <w:sz w:val="22"/>
          <w:szCs w:val="22"/>
        </w:rPr>
        <w:t>Isa Jubran,</w:t>
      </w:r>
      <w:r w:rsidR="0018693B" w:rsidRPr="00C96805">
        <w:rPr>
          <w:rFonts w:ascii="Calibri" w:hAnsi="Calibri" w:cs="Arial"/>
          <w:sz w:val="22"/>
          <w:szCs w:val="22"/>
        </w:rPr>
        <w:t xml:space="preserve"> </w:t>
      </w:r>
      <w:r w:rsidR="00534511" w:rsidRPr="00C96805">
        <w:rPr>
          <w:rFonts w:ascii="Calibri" w:hAnsi="Calibri" w:cs="Arial"/>
          <w:sz w:val="22"/>
          <w:szCs w:val="22"/>
        </w:rPr>
        <w:t>Jo</w:t>
      </w:r>
      <w:r w:rsidR="00BA1B68" w:rsidRPr="00C96805">
        <w:rPr>
          <w:rFonts w:ascii="Calibri" w:hAnsi="Calibri" w:cs="Arial"/>
          <w:sz w:val="22"/>
          <w:szCs w:val="22"/>
        </w:rPr>
        <w:t xml:space="preserve">rdan Kobritz, </w:t>
      </w:r>
      <w:r w:rsidR="00CC09D5" w:rsidRPr="00C96805">
        <w:rPr>
          <w:rFonts w:ascii="Calibri" w:hAnsi="Calibri" w:cs="Arial"/>
          <w:sz w:val="22"/>
          <w:szCs w:val="22"/>
        </w:rPr>
        <w:t xml:space="preserve">Jerry O’Callaghan, </w:t>
      </w:r>
      <w:r w:rsidR="00205951" w:rsidRPr="00C96805">
        <w:rPr>
          <w:rFonts w:ascii="Calibri" w:hAnsi="Calibri" w:cs="Arial"/>
          <w:sz w:val="22"/>
          <w:szCs w:val="22"/>
        </w:rPr>
        <w:t>Kevin Sheets, Carol Van Der Karr,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BA1B68" w:rsidRPr="00C96805">
        <w:rPr>
          <w:rFonts w:ascii="Calibri" w:hAnsi="Calibri" w:cs="Arial"/>
          <w:sz w:val="22"/>
          <w:szCs w:val="22"/>
        </w:rPr>
        <w:t>Nance Wilson,</w:t>
      </w:r>
      <w:r w:rsidR="002A1A70" w:rsidRPr="00C96805">
        <w:rPr>
          <w:rFonts w:ascii="Calibri" w:hAnsi="Calibri" w:cs="Arial"/>
          <w:sz w:val="22"/>
          <w:szCs w:val="22"/>
        </w:rPr>
        <w:t xml:space="preserve"> </w:t>
      </w:r>
      <w:r w:rsidR="00BA1038" w:rsidRPr="00C96805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19D77076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5B7839" w:rsidRPr="00C96805">
        <w:rPr>
          <w:rFonts w:ascii="Calibri" w:hAnsi="Calibri" w:cs="Arial"/>
          <w:sz w:val="22"/>
          <w:szCs w:val="22"/>
        </w:rPr>
        <w:t xml:space="preserve">Darci Bacigalupi, </w:t>
      </w:r>
      <w:r w:rsidR="00205951" w:rsidRPr="00C96805">
        <w:rPr>
          <w:rFonts w:ascii="Calibri" w:hAnsi="Calibri" w:cs="Arial"/>
          <w:sz w:val="22"/>
          <w:szCs w:val="22"/>
        </w:rPr>
        <w:t xml:space="preserve">Thom Hanford, </w:t>
      </w:r>
      <w:r w:rsidR="00CC09D5">
        <w:rPr>
          <w:rFonts w:ascii="Calibri" w:hAnsi="Calibri" w:cs="Arial"/>
          <w:sz w:val="22"/>
          <w:szCs w:val="22"/>
        </w:rPr>
        <w:t xml:space="preserve">Caitlin Liberati, </w:t>
      </w:r>
      <w:r w:rsidR="002A1A70">
        <w:rPr>
          <w:rFonts w:ascii="Calibri" w:hAnsi="Calibri" w:cs="Arial"/>
          <w:sz w:val="22"/>
          <w:szCs w:val="22"/>
        </w:rPr>
        <w:t xml:space="preserve">Syed Pasha,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565636AD" w:rsidR="006E09D9" w:rsidRDefault="00050E87" w:rsidP="00205951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changes, t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he </w:t>
            </w: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205951">
              <w:rPr>
                <w:rFonts w:ascii="Calibri" w:hAnsi="Calibri"/>
                <w:sz w:val="22"/>
                <w:szCs w:val="22"/>
              </w:rPr>
              <w:t xml:space="preserve">March </w:t>
            </w:r>
            <w:r w:rsidR="004C1519">
              <w:rPr>
                <w:rFonts w:ascii="Calibri" w:hAnsi="Calibri"/>
                <w:sz w:val="22"/>
                <w:szCs w:val="22"/>
              </w:rPr>
              <w:t>2</w:t>
            </w:r>
            <w:r w:rsidR="00205951">
              <w:rPr>
                <w:rFonts w:ascii="Calibri" w:hAnsi="Calibri"/>
                <w:sz w:val="22"/>
                <w:szCs w:val="22"/>
              </w:rPr>
              <w:t>8</w:t>
            </w:r>
            <w:r w:rsidR="004C1519">
              <w:rPr>
                <w:rFonts w:ascii="Calibri" w:hAnsi="Calibri"/>
                <w:sz w:val="22"/>
                <w:szCs w:val="22"/>
              </w:rPr>
              <w:t>,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205951">
              <w:rPr>
                <w:rFonts w:ascii="Calibri" w:hAnsi="Calibri"/>
                <w:sz w:val="22"/>
                <w:szCs w:val="22"/>
              </w:rPr>
              <w:t>6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AA9E144" w:rsidR="00DE526F" w:rsidRPr="001614F5" w:rsidRDefault="00BC6CF6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0E87" w:rsidRPr="00506C33" w14:paraId="2286F43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858DBFD" w14:textId="5CEFAE92" w:rsidR="00050E87" w:rsidRDefault="00050E87" w:rsidP="00050E8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3FC4603" w14:textId="671A140E" w:rsidR="00050E87" w:rsidRDefault="00050E87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16B769" w14:textId="6E803F9D" w:rsidR="00050E87" w:rsidRPr="00AE7B2F" w:rsidRDefault="00050E87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3F88" w:rsidRPr="00506C33" w14:paraId="1276FE8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E612D4F" w14:textId="349CE5F5" w:rsidR="00DD3F88" w:rsidRDefault="00DD3F88" w:rsidP="00DD3F8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D0FE5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14:paraId="6BD5B1E5" w14:textId="1D773ED8" w:rsidR="00DD3F88" w:rsidRPr="00FD0FE5" w:rsidRDefault="00DD3F88" w:rsidP="00FD0FE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FD0FE5">
              <w:rPr>
                <w:rFonts w:ascii="Calibri" w:hAnsi="Calibri"/>
                <w:sz w:val="22"/>
                <w:szCs w:val="22"/>
              </w:rPr>
              <w:t xml:space="preserve">ESL 422/522 – Theory and Practice of </w:t>
            </w:r>
            <w:r w:rsidR="00FD0FE5">
              <w:rPr>
                <w:rFonts w:ascii="Calibri" w:hAnsi="Calibri"/>
                <w:sz w:val="22"/>
                <w:szCs w:val="22"/>
              </w:rPr>
              <w:tab/>
              <w:t>Bilingual/Multicultural Education</w:t>
            </w:r>
          </w:p>
          <w:p w14:paraId="32F89339" w14:textId="0FAD0913" w:rsidR="00DD3F88" w:rsidRPr="002A1A70" w:rsidRDefault="00DD3F88" w:rsidP="00DD3F8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534AE41" w14:textId="6A1FAAC2" w:rsidR="00DD3F88" w:rsidRPr="002A1A70" w:rsidRDefault="00FD0FE5" w:rsidP="00DD3F8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would like to see a distinction of coursework between the two courses.  K. Sheets made a motion to contingent pass; seconded by N. Wilson. 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10D9E19" w14:textId="406D097C" w:rsidR="00DD3F88" w:rsidRPr="00AE7B2F" w:rsidRDefault="00FD0FE5" w:rsidP="00DD3F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</w:t>
            </w:r>
            <w:r w:rsidR="00DD3F88"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DD3F88" w:rsidRPr="00506C33" w14:paraId="5A61F25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BB9E35" w14:textId="77777777" w:rsidR="00FD0FE5" w:rsidRDefault="00DD3F88" w:rsidP="00BE64EA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72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D0FE5">
              <w:rPr>
                <w:rFonts w:ascii="Calibri" w:hAnsi="Calibri"/>
                <w:sz w:val="22"/>
                <w:szCs w:val="22"/>
              </w:rPr>
              <w:t>New C</w:t>
            </w:r>
            <w:r w:rsidR="00BE64EA">
              <w:rPr>
                <w:rFonts w:ascii="Calibri" w:hAnsi="Calibri"/>
                <w:sz w:val="22"/>
                <w:szCs w:val="22"/>
              </w:rPr>
              <w:t xml:space="preserve">ourse </w:t>
            </w:r>
            <w:r w:rsidR="00FD0FE5">
              <w:rPr>
                <w:rFonts w:ascii="Calibri" w:hAnsi="Calibri"/>
                <w:sz w:val="22"/>
                <w:szCs w:val="22"/>
              </w:rPr>
              <w:t>A</w:t>
            </w:r>
            <w:r w:rsidR="00BE64EA">
              <w:rPr>
                <w:rFonts w:ascii="Calibri" w:hAnsi="Calibri"/>
                <w:sz w:val="22"/>
                <w:szCs w:val="22"/>
              </w:rPr>
              <w:t>pproval</w:t>
            </w:r>
            <w:r w:rsidR="00BE64EA" w:rsidRPr="00BE64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409892B" w14:textId="30BB7EB8" w:rsidR="00BE64EA" w:rsidRDefault="00FD0FE5" w:rsidP="00FD0FE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72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ESL 503 – Second Language Testing </w:t>
            </w:r>
            <w:r>
              <w:rPr>
                <w:rFonts w:ascii="Calibri" w:hAnsi="Calibri"/>
                <w:sz w:val="22"/>
                <w:szCs w:val="22"/>
              </w:rPr>
              <w:tab/>
              <w:t>and Assessment</w:t>
            </w:r>
            <w:r w:rsidR="00BE64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CDFFB54" w14:textId="61CDF9B3" w:rsidR="00DD3F88" w:rsidRDefault="00FD0FE5" w:rsidP="00FD0FE5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would like to see a distinction of coursework between this courses and ELS 403 (approved by CCRC).  K. Sheets made a motion to contingent pass; seconded by J. O’Callaghan. 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7B9B502" w14:textId="1C88A3A1" w:rsidR="00DD3F88" w:rsidRDefault="00FD0FE5" w:rsidP="00DD3F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060034" w:rsidRPr="00506C33" w14:paraId="154A6625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F8A6BFE" w14:textId="52561686" w:rsidR="00FD0FE5" w:rsidRDefault="00FF07A8" w:rsidP="00FD0FE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72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D0FE5">
              <w:rPr>
                <w:rFonts w:ascii="Calibri" w:hAnsi="Calibri"/>
                <w:sz w:val="22"/>
                <w:szCs w:val="22"/>
              </w:rPr>
              <w:t>New Course Approval</w:t>
            </w:r>
            <w:r w:rsidR="00FD0FE5" w:rsidRPr="00BE64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F8FDC48" w14:textId="230BE7F6" w:rsidR="00060034" w:rsidRDefault="00FD0FE5" w:rsidP="00FD0FE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ESL 504 – ESL Literacy in the </w:t>
            </w:r>
            <w:r>
              <w:rPr>
                <w:rFonts w:ascii="Calibri" w:hAnsi="Calibri"/>
                <w:sz w:val="22"/>
                <w:szCs w:val="22"/>
              </w:rPr>
              <w:tab/>
              <w:t>Elementary School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D027AB8" w14:textId="79754603" w:rsidR="00060034" w:rsidRDefault="00FD0FE5" w:rsidP="00FD0FE5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Sheets</w:t>
            </w:r>
            <w:r w:rsidR="00060034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N. Wilson</w:t>
            </w:r>
            <w:r w:rsidR="00060034">
              <w:rPr>
                <w:rFonts w:ascii="Calibri" w:hAnsi="Calibri"/>
                <w:sz w:val="22"/>
                <w:szCs w:val="22"/>
              </w:rPr>
              <w:t>.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32AA00B" w14:textId="7584D877" w:rsidR="00060034" w:rsidRDefault="00060034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D0FE5" w:rsidRPr="00506C33" w14:paraId="2562EBB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A058399" w14:textId="00965CED" w:rsidR="00FD0FE5" w:rsidRDefault="00FD0FE5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FD0FE5">
              <w:rPr>
                <w:rFonts w:ascii="Calibri" w:hAnsi="Calibri"/>
                <w:sz w:val="22"/>
                <w:szCs w:val="22"/>
              </w:rPr>
              <w:t>4.</w:t>
            </w:r>
            <w:r w:rsidRPr="00FD0FE5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Alteration of an Existing Program</w:t>
            </w:r>
          </w:p>
          <w:p w14:paraId="297749C5" w14:textId="40AE25DC" w:rsidR="00FD0FE5" w:rsidRPr="00FD0FE5" w:rsidRDefault="00FD0FE5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Bilingual Education Extension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26AC333" w14:textId="77777777" w:rsidR="00FD0FE5" w:rsidRDefault="00FD0FE5" w:rsidP="00060034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made a motion to recommend; seconded by </w:t>
            </w:r>
          </w:p>
          <w:p w14:paraId="6055DE1C" w14:textId="14CF4376" w:rsidR="00FD0FE5" w:rsidRDefault="00FD0FE5" w:rsidP="00060034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O’Callaghan.  Unanimous.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936C651" w14:textId="6E5BC7BA" w:rsidR="00FD0FE5" w:rsidRDefault="00FD0FE5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D0FE5" w:rsidRPr="00506C33" w14:paraId="0503C96E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388C141" w14:textId="306A8E64" w:rsidR="00FD0FE5" w:rsidRDefault="00FD0FE5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</w:p>
          <w:p w14:paraId="5EF9A099" w14:textId="456A3ADD" w:rsidR="00FD0FE5" w:rsidRPr="00FD0FE5" w:rsidRDefault="00FD0FE5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Second Language Education: Non-</w:t>
            </w:r>
            <w:r>
              <w:rPr>
                <w:rFonts w:ascii="Calibri" w:hAnsi="Calibri"/>
                <w:sz w:val="22"/>
                <w:szCs w:val="22"/>
              </w:rPr>
              <w:tab/>
              <w:t>Certification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992F49C" w14:textId="0D0C4FA9" w:rsidR="00FD0FE5" w:rsidRDefault="00FD0FE5" w:rsidP="00FD0FE5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Clarification on total credits is needed.  K. Sheets made a motion to contingent pass; seconded by N. Wilson.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5BED526" w14:textId="464E9694" w:rsidR="00FD0FE5" w:rsidRDefault="00FD0FE5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83291A" w:rsidRPr="00506C33" w14:paraId="6FFE676C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4C9B49B" w14:textId="497264FC" w:rsidR="0083291A" w:rsidRDefault="0083291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GFEC Travel and Small Grant </w:t>
            </w:r>
            <w:r>
              <w:rPr>
                <w:rFonts w:ascii="Calibri" w:hAnsi="Calibri"/>
                <w:sz w:val="22"/>
                <w:szCs w:val="22"/>
              </w:rPr>
              <w:tab/>
              <w:t>Applications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F8BF2D0" w14:textId="77777777" w:rsidR="0083291A" w:rsidRDefault="0083291A" w:rsidP="0083291A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reviewed all applications and approved each.  It was agreed to fund the applications in full*, with accurate per diem rates applied.  Carol agreed to supplement the additional funding.</w:t>
            </w:r>
          </w:p>
          <w:p w14:paraId="66EF116B" w14:textId="77777777" w:rsidR="0083291A" w:rsidRDefault="0083291A" w:rsidP="0083291A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04959128" w14:textId="64091C16" w:rsidR="0083291A" w:rsidRDefault="0083291A" w:rsidP="0083291A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*Chloe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Crawfords’s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application is not funding the insurance fee as the College is self-insured.  Verification of </w:t>
            </w:r>
            <w:r w:rsidR="004F61A5">
              <w:rPr>
                <w:rFonts w:ascii="Calibri" w:hAnsi="Calibri"/>
                <w:sz w:val="22"/>
                <w:szCs w:val="22"/>
              </w:rPr>
              <w:t>such</w:t>
            </w:r>
            <w:r>
              <w:rPr>
                <w:rFonts w:ascii="Calibri" w:hAnsi="Calibri"/>
                <w:sz w:val="22"/>
                <w:szCs w:val="22"/>
              </w:rPr>
              <w:t xml:space="preserve"> is being sent to Ms. Crawford for her use in her project.</w:t>
            </w:r>
          </w:p>
          <w:p w14:paraId="78EE6FCA" w14:textId="77777777" w:rsidR="0083291A" w:rsidRDefault="0083291A" w:rsidP="0083291A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592270CE" w14:textId="0EFABEE3" w:rsidR="0083291A" w:rsidRDefault="0083291A" w:rsidP="0083291A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discussed that some applications were not complete and illegible due to hand-written responses.  The committee agreed to provide tips for submitting a strong application, and elements in a professional proposal.  J. Kobritz made a motion to recommend all grant applications; seconded by N. Wilson. 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94E6827" w14:textId="4479CD73" w:rsidR="0083291A" w:rsidRDefault="0083291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039AA" w:rsidRPr="00506C33" w14:paraId="4CF918B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23D49FF" w14:textId="73A4B2C7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Old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44CA116" w14:textId="106B7B73" w:rsidR="009039AA" w:rsidRDefault="009039AA" w:rsidP="00060034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ACCC6F2" w14:textId="066BA7B3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39AA" w:rsidRPr="00506C33" w14:paraId="46E1E8B8" w14:textId="77777777" w:rsidTr="004C1519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4112E83" w14:textId="31CB7A7A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Culminating Activities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324B0E" w14:textId="427AEDF5" w:rsidR="009039AA" w:rsidRDefault="0083291A" w:rsidP="008329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Nine responses have been recorded for the survey.  J. Curtis asked that a reminder email be sent to the graduate coordinators asking them to please take the time to compete the survey.</w:t>
            </w:r>
            <w:r w:rsidR="009039A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E762E7A" w14:textId="01B31676" w:rsidR="009039AA" w:rsidRPr="00AE7B2F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D00135C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47FCDA64" w:rsidR="009039AA" w:rsidRDefault="009039AA" w:rsidP="0006003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>he meeting was adjourned at 9:57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00619E6" w14:textId="4E03CEF2" w:rsidR="0029074A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2CD9577D" w14:textId="28FE2397" w:rsidR="00A42E7B" w:rsidRDefault="00A42E7B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5/9/2016</w:t>
      </w:r>
    </w:p>
    <w:p w14:paraId="43D55085" w14:textId="4F547F38" w:rsidR="00F12366" w:rsidRDefault="005B7839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</w:p>
    <w:p w14:paraId="36D95683" w14:textId="28F5CB58" w:rsidR="00071D61" w:rsidRDefault="00071D61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680E65CE" w14:textId="7EBB15C0" w:rsidR="00630E6E" w:rsidRDefault="00630E6E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0D44"/>
    <w:rsid w:val="0003127D"/>
    <w:rsid w:val="000320D4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1E12DB"/>
    <w:rsid w:val="001F6CBB"/>
    <w:rsid w:val="0020190A"/>
    <w:rsid w:val="002023D9"/>
    <w:rsid w:val="00202B16"/>
    <w:rsid w:val="00205951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074A"/>
    <w:rsid w:val="00292BB9"/>
    <w:rsid w:val="00294744"/>
    <w:rsid w:val="002969CC"/>
    <w:rsid w:val="002A16A5"/>
    <w:rsid w:val="002A1A70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1AD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1519"/>
    <w:rsid w:val="004C4FF6"/>
    <w:rsid w:val="004C6846"/>
    <w:rsid w:val="004C740F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3D9C"/>
    <w:rsid w:val="00534511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22622"/>
    <w:rsid w:val="009252F3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1038"/>
    <w:rsid w:val="00BA1B6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6805"/>
    <w:rsid w:val="00C9747C"/>
    <w:rsid w:val="00CA020D"/>
    <w:rsid w:val="00CA2BAB"/>
    <w:rsid w:val="00CA375D"/>
    <w:rsid w:val="00CA6628"/>
    <w:rsid w:val="00CB0590"/>
    <w:rsid w:val="00CB6183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A71C9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E3BD2"/>
    <w:rsid w:val="00FE4F15"/>
    <w:rsid w:val="00FF04D2"/>
    <w:rsid w:val="00FF07A8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6</cp:revision>
  <cp:lastPrinted>2013-10-14T13:03:00Z</cp:lastPrinted>
  <dcterms:created xsi:type="dcterms:W3CDTF">2016-05-06T17:37:00Z</dcterms:created>
  <dcterms:modified xsi:type="dcterms:W3CDTF">2016-09-16T15:28:00Z</dcterms:modified>
</cp:coreProperties>
</file>